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56" w:rsidRPr="00C92424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C92424">
        <w:rPr>
          <w:rFonts w:ascii="Times New Roman" w:eastAsia="Calibri" w:hAnsi="Times New Roman" w:cs="Times New Roman"/>
          <w:sz w:val="28"/>
        </w:rPr>
        <w:t xml:space="preserve">Муниципальное бюджетное дошкольное образовательное учреждение </w:t>
      </w:r>
      <w:r w:rsidR="00C92424" w:rsidRPr="00C92424">
        <w:rPr>
          <w:rFonts w:ascii="Times New Roman" w:eastAsia="Calibri" w:hAnsi="Times New Roman" w:cs="Times New Roman"/>
          <w:sz w:val="28"/>
        </w:rPr>
        <w:t xml:space="preserve">     </w:t>
      </w:r>
      <w:r w:rsidR="00C92424">
        <w:rPr>
          <w:rFonts w:ascii="Times New Roman" w:eastAsia="Calibri" w:hAnsi="Times New Roman" w:cs="Times New Roman"/>
          <w:sz w:val="28"/>
        </w:rPr>
        <w:t>«</w:t>
      </w:r>
      <w:proofErr w:type="spellStart"/>
      <w:r w:rsidR="00C92424" w:rsidRPr="00C92424">
        <w:rPr>
          <w:rFonts w:ascii="Times New Roman" w:eastAsia="Calibri" w:hAnsi="Times New Roman" w:cs="Times New Roman"/>
          <w:sz w:val="28"/>
        </w:rPr>
        <w:t>Пигаревский</w:t>
      </w:r>
      <w:proofErr w:type="spellEnd"/>
      <w:r w:rsidR="00C92424" w:rsidRPr="00C92424">
        <w:rPr>
          <w:rFonts w:ascii="Times New Roman" w:eastAsia="Calibri" w:hAnsi="Times New Roman" w:cs="Times New Roman"/>
          <w:sz w:val="28"/>
        </w:rPr>
        <w:t xml:space="preserve"> детский сад «Сказка </w:t>
      </w:r>
      <w:r w:rsidRPr="00C92424">
        <w:rPr>
          <w:rFonts w:ascii="Times New Roman" w:eastAsia="Calibri" w:hAnsi="Times New Roman" w:cs="Times New Roman"/>
          <w:sz w:val="28"/>
        </w:rPr>
        <w:t>»</w:t>
      </w:r>
    </w:p>
    <w:p w:rsidR="00F33E56" w:rsidRPr="00C92424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33E56" w:rsidRPr="00C92424" w:rsidRDefault="00F33E56" w:rsidP="00F33E56">
      <w:pPr>
        <w:keepNext/>
        <w:keepLines/>
        <w:spacing w:after="0" w:line="259" w:lineRule="auto"/>
        <w:ind w:left="779" w:right="712" w:hanging="10"/>
        <w:jc w:val="center"/>
        <w:outlineLvl w:val="0"/>
        <w:rPr>
          <w:rFonts w:ascii="Times New Roman" w:eastAsia="Times New Roman" w:hAnsi="Times New Roman" w:cs="Times New Roman"/>
          <w:sz w:val="32"/>
          <w:lang w:eastAsia="ru-RU"/>
        </w:rPr>
      </w:pPr>
    </w:p>
    <w:p w:rsidR="00F33E56" w:rsidRPr="00C92424" w:rsidRDefault="00F33E56" w:rsidP="00F33E56">
      <w:pPr>
        <w:keepNext/>
        <w:keepLines/>
        <w:spacing w:after="0" w:line="259" w:lineRule="auto"/>
        <w:ind w:left="779" w:right="712" w:hanging="10"/>
        <w:jc w:val="center"/>
        <w:outlineLvl w:val="0"/>
        <w:rPr>
          <w:rFonts w:ascii="Times New Roman" w:eastAsia="Times New Roman" w:hAnsi="Times New Roman" w:cs="Times New Roman"/>
          <w:sz w:val="32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keepNext/>
        <w:keepLines/>
        <w:spacing w:after="0" w:line="259" w:lineRule="auto"/>
        <w:ind w:left="779" w:right="712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F33E56" w:rsidRPr="00F33E56" w:rsidRDefault="00F33E56" w:rsidP="00F33E56">
      <w:pPr>
        <w:keepNext/>
        <w:keepLines/>
        <w:spacing w:after="0" w:line="259" w:lineRule="auto"/>
        <w:ind w:left="779" w:right="712" w:hanging="10"/>
        <w:jc w:val="center"/>
        <w:outlineLvl w:val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sz w:val="32"/>
          <w:lang w:eastAsia="ru-RU"/>
        </w:rPr>
        <w:t>Аналитическая справка</w:t>
      </w:r>
    </w:p>
    <w:p w:rsidR="00F33E56" w:rsidRPr="00C92424" w:rsidRDefault="00F33E56" w:rsidP="00C92424">
      <w:pPr>
        <w:keepNext/>
        <w:keepLines/>
        <w:spacing w:after="0" w:line="259" w:lineRule="auto"/>
        <w:ind w:left="779" w:right="712" w:hanging="10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>о результатах мониторинга</w:t>
      </w:r>
      <w:r w:rsidRPr="00F33E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достижения обучающимися результатов </w:t>
      </w:r>
      <w:r w:rsidRPr="00F33E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>освоения осн</w:t>
      </w:r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овной образовательной программы 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>дошкольного образования</w:t>
      </w:r>
      <w:r w:rsidRPr="00F33E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>в МБДОУ</w:t>
      </w:r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</w:t>
      </w:r>
      <w:proofErr w:type="spellStart"/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>Пигаревский</w:t>
      </w:r>
      <w:proofErr w:type="spellEnd"/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proofErr w:type="spellStart"/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>детскийсад</w:t>
      </w:r>
      <w:proofErr w:type="spellEnd"/>
      <w:r w:rsidR="00C924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«Сказка» за март - май</w:t>
      </w:r>
      <w:r w:rsidRPr="00F33E5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2021 учебный год</w:t>
      </w:r>
      <w:r w:rsidRPr="00F33E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C92424" w:rsidP="00F33E56">
      <w:pPr>
        <w:spacing w:after="30" w:line="254" w:lineRule="auto"/>
        <w:ind w:left="10" w:right="3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Подготовила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33E56" w:rsidRDefault="00F33E56" w:rsidP="00F33E56">
      <w:pPr>
        <w:spacing w:after="30" w:line="254" w:lineRule="auto"/>
        <w:ind w:left="10" w:right="3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 воспитатель</w:t>
      </w:r>
    </w:p>
    <w:p w:rsidR="00C92424" w:rsidRPr="00F33E56" w:rsidRDefault="00C92424" w:rsidP="00F33E56">
      <w:pPr>
        <w:spacing w:after="30" w:line="254" w:lineRule="auto"/>
        <w:ind w:left="10" w:right="3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92424" w:rsidRDefault="00C92424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</w:t>
      </w:r>
    </w:p>
    <w:p w:rsidR="00F33E56" w:rsidRPr="00F33E56" w:rsidRDefault="00C92424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игаревский</w:t>
      </w:r>
      <w:proofErr w:type="spellEnd"/>
    </w:p>
    <w:p w:rsidR="00F33E56" w:rsidRPr="00F33E56" w:rsidRDefault="00F33E56" w:rsidP="00F33E56">
      <w:pPr>
        <w:spacing w:after="30" w:line="254" w:lineRule="auto"/>
        <w:ind w:left="10" w:right="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sz w:val="28"/>
          <w:lang w:eastAsia="ru-RU"/>
        </w:rPr>
        <w:t>2021г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-15"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Воспитательно-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образовательный 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процесс в Муниципальном бюджетном дошкольном образовательном учреждении 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Пигаревский</w:t>
      </w:r>
      <w:proofErr w:type="spellEnd"/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детский сад 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«Сказка»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выстроен на основе  Основной образовательной программы дошкольного образования МБДОУ 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Пигаревский</w:t>
      </w:r>
      <w:proofErr w:type="spellEnd"/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ДС»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Для определения уровня развития детей мониторинг достижения детьми планируемых результатов освоения о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бразовательной программы в марте – мае 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2021 учебном </w:t>
      </w:r>
      <w:r w:rsidR="00761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году проводился дважды (март 2021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года, май 2021 года) с целью определения степени освоения обучающимися образовательной программы и влияния образовательного процесса, организуемого в дошкольном учреждении на развитие детей. </w:t>
      </w:r>
    </w:p>
    <w:p w:rsidR="00F33E56" w:rsidRPr="00F33E56" w:rsidRDefault="00881EE5" w:rsidP="00F33E56">
      <w:pPr>
        <w:spacing w:after="30" w:line="254" w:lineRule="auto"/>
        <w:ind w:left="-15"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Продиагностировано: 48 воспитанников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Воспитателями осуществлялся мониторинг образовательного процесса по образовательным областям в соответствии с ФГОС </w:t>
      </w:r>
      <w:proofErr w:type="gramStart"/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33E56" w:rsidRPr="00F33E56" w:rsidRDefault="00F33E56" w:rsidP="00F33E56">
      <w:pPr>
        <w:tabs>
          <w:tab w:val="center" w:pos="4351"/>
        </w:tabs>
        <w:spacing w:after="30" w:line="254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Сбор информации основывался на использовании следующих методик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систематические наблюдения,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специальной игровой деятельности,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ответов на поставленные задачи через педагогические ситуации, 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продуктов детской деятельности.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 работы продуктивной деятельности, организации игровой деятельности и специальных диагностических материалов. Данные о результатах мониторинга заносятся в таблицу. Мониторинг образовательного процесса, позволил осуществить комплексный подход к оценке развития ребенка.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Сравнительный анализ произведен в конце учебного года и показал динамику освоения воспитанниками образовательной программы по всем образовательным областям по сравнению с началом года.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качества освоения образовательных областей позволяет выстроить следующий рейтинговый порядок: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 «Речевое развитие»;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«Познавательное развитие»;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«Социально-коммуникативное развитие»;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«Художественно-эстетическое развитие»; </w:t>
      </w:r>
    </w:p>
    <w:p w:rsidR="00F33E56" w:rsidRPr="00F33E56" w:rsidRDefault="00F33E56" w:rsidP="00F33E56">
      <w:pPr>
        <w:numPr>
          <w:ilvl w:val="0"/>
          <w:numId w:val="1"/>
        </w:numPr>
        <w:spacing w:after="11" w:line="268" w:lineRule="auto"/>
        <w:ind w:right="66" w:hanging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«Физическое развитие» позволил осуществить комплексный подход к оценке развития ребенка. </w:t>
      </w:r>
    </w:p>
    <w:p w:rsidR="00F33E56" w:rsidRPr="00F33E56" w:rsidRDefault="00F33E56" w:rsidP="00F33E56">
      <w:pPr>
        <w:spacing w:after="3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В ДОУ созданы необходимые условия для развития, воспитания и обучения детей в соответствии с программными требованиями: </w:t>
      </w:r>
    </w:p>
    <w:p w:rsidR="00F33E56" w:rsidRPr="00F33E56" w:rsidRDefault="00F33E56" w:rsidP="00F33E56">
      <w:pPr>
        <w:numPr>
          <w:ilvl w:val="0"/>
          <w:numId w:val="2"/>
        </w:numPr>
        <w:spacing w:after="30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помещение и оборудование соответствует санитарно-гигиеническим требованиям </w:t>
      </w:r>
      <w:proofErr w:type="spellStart"/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СанПина</w:t>
      </w:r>
      <w:proofErr w:type="spellEnd"/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F33E56" w:rsidRPr="00F33E56" w:rsidRDefault="00F33E56" w:rsidP="00F33E56">
      <w:pPr>
        <w:numPr>
          <w:ilvl w:val="0"/>
          <w:numId w:val="2"/>
        </w:numPr>
        <w:spacing w:after="30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группах организованы развивающие зоны: учебная, игровая, отдыха, самостоятельной художественной и творческой деятельности; </w:t>
      </w:r>
    </w:p>
    <w:p w:rsidR="00F33E56" w:rsidRPr="00F33E56" w:rsidRDefault="00F33E56" w:rsidP="00F33E56">
      <w:pPr>
        <w:numPr>
          <w:ilvl w:val="0"/>
          <w:numId w:val="2"/>
        </w:numPr>
        <w:spacing w:after="30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всестороннего развития детей вне НОД в групповых помещениях организованы физкультурно-оздоровительные уголки, книжные, театрализованные.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 педагогических советах обсуждаются результаты диагностики и развития каждого ребенка, выявляются причины недостаточного усвоения программного материала, затем намечается индивидуальная работа с каждым ребенком по проблемным вопросам.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основе полученных результатов делаются выводы, составляются рекомендации по организации индивидуальной работы для воспитателей, специалистов и родителей по дальнейшей работе.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Усвоение детьми программного материала подлежит систематическому контролю со стороны администрации: заведующего детским садом.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беседы с детьми, тематические праздники и развлечения.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Для более полного усвоения программного материала педагоги на НОД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 </w:t>
      </w:r>
    </w:p>
    <w:p w:rsidR="00881EE5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Итоги </w:t>
      </w:r>
      <w:r w:rsidRPr="00F33E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мониторинга освоения программного материала</w:t>
      </w:r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показали, что детьми материал по всем образовательным областям усвоен на разном уровне</w:t>
      </w:r>
      <w:r w:rsidR="00881E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5BE8" w:rsidRPr="00CA5BE8" w:rsidRDefault="00CA5BE8" w:rsidP="00CA5BE8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Воспитанниками группы детей раннего возраста, прошедших педагогическую диагностику в мае 2021года, с уровнем </w:t>
      </w:r>
      <w:proofErr w:type="gramStart"/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средний</w:t>
      </w:r>
      <w:proofErr w:type="gramEnd"/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составил –63,1%, в сравнении с мартом 2021 года –54,6%.</w:t>
      </w:r>
      <w:r w:rsidR="00043D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уровнем высокий 0% и 33%.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Увеличение доли воспитанников успешно освоивших образовательную программу</w:t>
      </w:r>
      <w:r w:rsidR="00043D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уровнем средний составляет –8,5%, с уровнем высокий – 33%.</w:t>
      </w:r>
    </w:p>
    <w:p w:rsidR="00CA5BE8" w:rsidRPr="00CA5BE8" w:rsidRDefault="00CA5BE8" w:rsidP="00CA5BE8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CA5BE8" w:rsidRPr="00CA5BE8" w:rsidRDefault="00CA5BE8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CA5BE8" w:rsidRPr="00CA5BE8" w:rsidRDefault="00CA5BE8" w:rsidP="00CA5BE8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 xml:space="preserve">Воспитанниками младше - средней  группы, прошедших педагогическую диагностику в мае 2021года, с уровнем </w:t>
      </w:r>
      <w:proofErr w:type="gramStart"/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средний</w:t>
      </w:r>
      <w:proofErr w:type="gramEnd"/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составил –64,1%, в сравнении с мартом 2021 года –52,7%.</w:t>
      </w:r>
      <w:r w:rsidR="00043D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уровнем высокий 30,6% и 3,7%.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Увеличение доли воспитанников успешно освоивших образовательную программу </w:t>
      </w:r>
      <w:r w:rsidR="00043D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уровнем средний составляет –11,4%, высокий -26,9%.</w:t>
      </w:r>
    </w:p>
    <w:p w:rsidR="00881EE5" w:rsidRPr="00CA5BE8" w:rsidRDefault="00F33E56" w:rsidP="00CA5BE8">
      <w:pPr>
        <w:spacing w:after="3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CA5BE8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Воспитанниками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старшей  группы, прошедших педагогическую диагностику в мае 2021года, с уровнем </w:t>
      </w:r>
      <w:proofErr w:type="gramStart"/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средний</w:t>
      </w:r>
      <w:proofErr w:type="gramEnd"/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высокий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составил –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60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15%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в сравнении с мартом 2021 года –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31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69%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Увеличение доли воспитанников успешно освоивших образовательную программу составляет –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25</w:t>
      </w:r>
      <w:r w:rsidR="00881EE5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%.</w:t>
      </w:r>
    </w:p>
    <w:p w:rsidR="00F33E56" w:rsidRPr="00CA5BE8" w:rsidRDefault="00881EE5" w:rsidP="00CA5BE8">
      <w:pPr>
        <w:spacing w:after="3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Воспитанники подготовительной к школе группы,</w:t>
      </w:r>
      <w:r w:rsidR="00CA5BE8"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прошедших педагогическую диагностику в мае 2021года, с уровнем средний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высокий составил – 11,7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88,3%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в с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равнении с мартом 2021 года – 29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 71%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Увеличение доли воспитанников успешно освоивших образовате</w:t>
      </w:r>
      <w:r w:rsidR="00661A1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льную программу составляет – 100</w:t>
      </w:r>
      <w:r w:rsidRPr="00CA5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%.</w:t>
      </w:r>
    </w:p>
    <w:p w:rsidR="00F33E56" w:rsidRPr="00F33E56" w:rsidRDefault="00F33E56" w:rsidP="00CA5BE8">
      <w:pPr>
        <w:spacing w:after="3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 </w:t>
      </w:r>
    </w:p>
    <w:p w:rsidR="00F33E56" w:rsidRPr="00F33E56" w:rsidRDefault="00F33E56" w:rsidP="00F33E56">
      <w:pPr>
        <w:spacing w:after="25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Воспитателям и специалистам: </w:t>
      </w:r>
    </w:p>
    <w:p w:rsidR="00F33E56" w:rsidRPr="00F33E56" w:rsidRDefault="00F33E56" w:rsidP="00F33E56">
      <w:pPr>
        <w:numPr>
          <w:ilvl w:val="0"/>
          <w:numId w:val="3"/>
        </w:numPr>
        <w:spacing w:after="30" w:line="254" w:lineRule="auto"/>
        <w:ind w:right="3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целенаправленную работу по повышению качества освоения программного материала по образовательным областям «Познавательное развитие», «Речевое развитие», «Художественно-эстетическое развитие».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исполнения: постоянно, в течение года </w:t>
      </w:r>
    </w:p>
    <w:p w:rsidR="00F33E56" w:rsidRPr="00F33E56" w:rsidRDefault="00F33E56" w:rsidP="00F33E56">
      <w:pPr>
        <w:numPr>
          <w:ilvl w:val="0"/>
          <w:numId w:val="3"/>
        </w:numPr>
        <w:spacing w:after="30" w:line="254" w:lineRule="auto"/>
        <w:ind w:right="3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дифференцированный подход в течение года к детям с целью улучшения освоения программы и развития интегративных качеств. 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исполнения: систематично, в течение года </w:t>
      </w:r>
    </w:p>
    <w:p w:rsidR="00F33E56" w:rsidRPr="00F33E56" w:rsidRDefault="00F33E56" w:rsidP="00F33E56">
      <w:pPr>
        <w:numPr>
          <w:ilvl w:val="0"/>
          <w:numId w:val="3"/>
        </w:numPr>
        <w:spacing w:after="30" w:line="254" w:lineRule="auto"/>
        <w:ind w:right="3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воспитательно-образовательной работы учитывать результаты мониторинга. </w:t>
      </w:r>
    </w:p>
    <w:p w:rsidR="00F33E56" w:rsidRPr="00F33E56" w:rsidRDefault="00F33E56" w:rsidP="00F33E56">
      <w:pPr>
        <w:numPr>
          <w:ilvl w:val="0"/>
          <w:numId w:val="3"/>
        </w:numPr>
        <w:spacing w:after="5" w:line="254" w:lineRule="auto"/>
        <w:ind w:right="3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исполнения: постоянно, в течение года </w:t>
      </w:r>
    </w:p>
    <w:p w:rsidR="00F33E56" w:rsidRPr="00F33E56" w:rsidRDefault="00CA5BE8" w:rsidP="00F33E56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проводить профилактические мероприятия с целью повышения посещаемости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F33E56"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укрепление здоровья, развития двигательной и гигиенической культуры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F33E56" w:rsidRPr="00CA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6" w:rsidRPr="00F33E56" w:rsidRDefault="00CA5BE8" w:rsidP="00CA5B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принимать активное участие в методических мероприятиях района и детского сада.</w:t>
      </w:r>
    </w:p>
    <w:p w:rsidR="00F33E56" w:rsidRPr="00F33E56" w:rsidRDefault="00CA5BE8" w:rsidP="00CA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обогащение и представление об окружающем мире.</w:t>
      </w:r>
    </w:p>
    <w:p w:rsidR="00F33E56" w:rsidRPr="00CA5BE8" w:rsidRDefault="00CA5BE8" w:rsidP="00CA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достижений и успехов</w:t>
      </w:r>
      <w:r w:rsidR="00F33E56" w:rsidRPr="00CA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6" w:rsidRPr="00CA5BE8" w:rsidRDefault="00CA5BE8" w:rsidP="00F33E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Пополнить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дидактический и раздаточный материал на развития логического мышления; уголок сюжетно-ролевой игры; книжный уголок литературой по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возрасту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Приобрести новые развивающие игры по</w:t>
      </w:r>
      <w:r w:rsidR="00F33E56"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F33E56" w:rsidRPr="00CA5B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возрасту детей</w:t>
      </w:r>
      <w:r w:rsidR="00F33E56" w:rsidRPr="00CA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6" w:rsidRPr="00F33E56" w:rsidRDefault="00CA5BE8" w:rsidP="00F33E5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темой по самообразованию.</w:t>
      </w:r>
    </w:p>
    <w:p w:rsidR="00F33E56" w:rsidRPr="00F33E56" w:rsidRDefault="00CA5BE8" w:rsidP="00F33E5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Продолжение целенаправленной работы с детьми по всем образовательным областям;</w:t>
      </w:r>
    </w:p>
    <w:p w:rsidR="00F33E56" w:rsidRPr="00F33E56" w:rsidRDefault="00CA5BE8" w:rsidP="00F33E5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работы по взаимодействию с родителями;</w:t>
      </w:r>
    </w:p>
    <w:p w:rsidR="00F33E56" w:rsidRPr="00F33E56" w:rsidRDefault="00CA5BE8" w:rsidP="00F33E5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Продолжение совершенствования предметно-развивающей среды в группе в соответствии с ФГОС;</w:t>
      </w:r>
    </w:p>
    <w:p w:rsidR="00F33E56" w:rsidRPr="00F33E56" w:rsidRDefault="00CA5BE8" w:rsidP="00F33E5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-5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0B7070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B7070">
        <w:rPr>
          <w:rFonts w:ascii="Times New Roman" w:eastAsia="Calibri" w:hAnsi="Times New Roman" w:cs="Times New Roman"/>
          <w:b/>
          <w:sz w:val="28"/>
        </w:rPr>
        <w:t>Сравнительный анализ диагностического обследования детей</w:t>
      </w:r>
    </w:p>
    <w:p w:rsidR="00F33E56" w:rsidRPr="000B7070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B7070">
        <w:rPr>
          <w:rFonts w:ascii="Times New Roman" w:eastAsia="Calibri" w:hAnsi="Times New Roman" w:cs="Times New Roman"/>
          <w:b/>
          <w:sz w:val="28"/>
        </w:rPr>
        <w:t>по музыкальному воспитанию:</w:t>
      </w:r>
    </w:p>
    <w:p w:rsidR="00F33E56" w:rsidRPr="000B7070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33E56" w:rsidRP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B7070">
        <w:rPr>
          <w:rFonts w:ascii="Times New Roman" w:eastAsia="Calibri" w:hAnsi="Times New Roman" w:cs="Times New Roman"/>
          <w:b/>
          <w:sz w:val="28"/>
        </w:rPr>
        <w:lastRenderedPageBreak/>
        <w:t>Группа раннего возраста</w:t>
      </w:r>
    </w:p>
    <w:p w:rsidR="00F33E56" w:rsidRPr="00F33E56" w:rsidRDefault="00F33E56" w:rsidP="00F33E56">
      <w:pPr>
        <w:keepNext/>
        <w:spacing w:after="0" w:line="240" w:lineRule="auto"/>
        <w:ind w:left="10" w:right="3" w:hanging="10"/>
        <w:jc w:val="both"/>
        <w:rPr>
          <w:rFonts w:ascii="Calibri" w:eastAsia="Calibri" w:hAnsi="Calibri" w:cs="Times New Roman"/>
          <w:color w:val="373737"/>
          <w:sz w:val="28"/>
          <w:lang w:eastAsia="ru-RU"/>
        </w:rPr>
      </w:pP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val="en-US" w:eastAsia="ru-RU"/>
        </w:rPr>
        <w:t>I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 xml:space="preserve"> полугодие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  <w:t xml:space="preserve">  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val="en-US" w:eastAsia="ru-RU"/>
        </w:rPr>
        <w:t>II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 xml:space="preserve"> полугодие</w:t>
      </w:r>
    </w:p>
    <w:p w:rsidR="00F33E56" w:rsidRPr="00F33E56" w:rsidRDefault="00F33E56" w:rsidP="00F33E56">
      <w:pPr>
        <w:keepNext/>
        <w:spacing w:after="0" w:line="240" w:lineRule="auto"/>
        <w:ind w:left="10" w:right="3" w:hanging="10"/>
        <w:jc w:val="both"/>
        <w:rPr>
          <w:rFonts w:ascii="Calibri" w:eastAsia="Calibri" w:hAnsi="Calibri" w:cs="Times New Roman"/>
          <w:color w:val="373737"/>
          <w:sz w:val="28"/>
          <w:lang w:eastAsia="ru-RU"/>
        </w:rPr>
      </w:pPr>
      <w:r w:rsidRPr="00F33E56">
        <w:rPr>
          <w:rFonts w:ascii="Calibri" w:eastAsia="Calibri" w:hAnsi="Calibri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3095625" cy="2200275"/>
            <wp:effectExtent l="0" t="0" r="9525" b="9525"/>
            <wp:docPr id="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F33E56">
        <w:rPr>
          <w:rFonts w:ascii="Calibri" w:eastAsia="Calibri" w:hAnsi="Calibri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3028950" cy="2219325"/>
            <wp:effectExtent l="0" t="0" r="19050" b="9525"/>
            <wp:docPr id="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3E56" w:rsidRPr="00F33E56" w:rsidRDefault="00F33E56" w:rsidP="00F33E56">
      <w:pPr>
        <w:keepNext/>
        <w:spacing w:after="0" w:line="240" w:lineRule="auto"/>
        <w:ind w:left="10" w:right="3" w:hanging="10"/>
        <w:jc w:val="both"/>
        <w:rPr>
          <w:rFonts w:ascii="Calibri" w:eastAsia="Calibri" w:hAnsi="Calibri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F33E56" w:rsidRPr="00F33E56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4738E1" w:rsidP="004738E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 xml:space="preserve">                        Младше – средняя группа</w:t>
      </w:r>
    </w:p>
    <w:p w:rsidR="004738E1" w:rsidRPr="004738E1" w:rsidRDefault="004738E1" w:rsidP="004738E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F33E56">
        <w:rPr>
          <w:rFonts w:ascii="Calibri" w:eastAsia="Calibri" w:hAnsi="Calibri" w:cs="Times New Roman"/>
          <w:color w:val="373737"/>
          <w:sz w:val="28"/>
          <w:lang w:val="en-US" w:eastAsia="ru-RU"/>
        </w:rPr>
        <w:t>I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 xml:space="preserve"> полугодие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  <w:t xml:space="preserve">  </w:t>
      </w:r>
      <w:r w:rsidRPr="00F33E56">
        <w:rPr>
          <w:rFonts w:ascii="Calibri" w:eastAsia="Calibri" w:hAnsi="Calibri" w:cs="Times New Roman"/>
          <w:color w:val="373737"/>
          <w:sz w:val="28"/>
          <w:lang w:eastAsia="ru-RU"/>
        </w:rPr>
        <w:tab/>
      </w:r>
      <w:r w:rsidRPr="00F33E56">
        <w:rPr>
          <w:rFonts w:ascii="Calibri" w:eastAsia="Calibri" w:hAnsi="Calibri" w:cs="Times New Roman"/>
          <w:color w:val="373737"/>
          <w:sz w:val="28"/>
          <w:lang w:val="en-US" w:eastAsia="ru-RU"/>
        </w:rPr>
        <w:t>II</w:t>
      </w:r>
      <w:r>
        <w:rPr>
          <w:rFonts w:ascii="Calibri" w:eastAsia="Calibri" w:hAnsi="Calibri" w:cs="Times New Roman"/>
          <w:color w:val="373737"/>
          <w:sz w:val="28"/>
          <w:lang w:eastAsia="ru-RU"/>
        </w:rPr>
        <w:t xml:space="preserve"> полугодие</w:t>
      </w:r>
      <w:r w:rsidRPr="00F33E56">
        <w:rPr>
          <w:rFonts w:ascii="Calibri" w:eastAsia="Calibri" w:hAnsi="Calibri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3095625" cy="2200275"/>
            <wp:effectExtent l="0" t="0" r="9525" b="9525"/>
            <wp:docPr id="1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F33E56">
        <w:rPr>
          <w:rFonts w:ascii="Calibri" w:eastAsia="Calibri" w:hAnsi="Calibri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3028950" cy="2219325"/>
            <wp:effectExtent l="0" t="0" r="19050" b="9525"/>
            <wp:docPr id="1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B7070" w:rsidRDefault="000B7070" w:rsidP="000B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  <w:lastRenderedPageBreak/>
        <w:t xml:space="preserve"> </w:t>
      </w: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</w:p>
    <w:p w:rsidR="004738E1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  <w:t xml:space="preserve"> </w:t>
      </w:r>
    </w:p>
    <w:p w:rsidR="004738E1" w:rsidRPr="000B7070" w:rsidRDefault="004738E1" w:rsidP="004738E1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  <w:t xml:space="preserve">                                        </w:t>
      </w:r>
      <w:r w:rsidRPr="000B7070">
        <w:rPr>
          <w:rFonts w:ascii="Times New Roman" w:eastAsia="Calibri" w:hAnsi="Times New Roman" w:cs="Times New Roman"/>
          <w:b/>
          <w:color w:val="000000" w:themeColor="text1"/>
          <w:sz w:val="28"/>
          <w:lang w:eastAsia="ru-RU"/>
        </w:rPr>
        <w:t>Старшая группа</w:t>
      </w:r>
    </w:p>
    <w:p w:rsidR="004738E1" w:rsidRPr="00F33E56" w:rsidRDefault="004738E1" w:rsidP="004738E1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373737"/>
          <w:sz w:val="28"/>
          <w:lang w:val="en-US" w:eastAsia="ru-RU"/>
        </w:rPr>
        <w:t>I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eastAsia="ru-RU"/>
        </w:rPr>
        <w:t xml:space="preserve"> полугодие                                                       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val="en-US" w:eastAsia="ru-RU"/>
        </w:rPr>
        <w:t>II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eastAsia="ru-RU"/>
        </w:rPr>
        <w:t xml:space="preserve"> полугодие</w:t>
      </w:r>
    </w:p>
    <w:p w:rsidR="004738E1" w:rsidRPr="00F33E56" w:rsidRDefault="004738E1" w:rsidP="004738E1">
      <w:pPr>
        <w:keepNext/>
        <w:spacing w:after="0" w:line="240" w:lineRule="auto"/>
        <w:ind w:left="10" w:right="3" w:hanging="10"/>
        <w:jc w:val="both"/>
        <w:rPr>
          <w:rFonts w:ascii="Calibri" w:eastAsia="Calibri" w:hAnsi="Calibri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2981325" cy="2400300"/>
            <wp:effectExtent l="0" t="0" r="9525" b="19050"/>
            <wp:docPr id="2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F33E56">
        <w:rPr>
          <w:rFonts w:ascii="Times New Roman" w:eastAsia="Times New Roman" w:hAnsi="Times New Roman" w:cs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19425" cy="2409825"/>
            <wp:effectExtent l="0" t="0" r="9525" b="9525"/>
            <wp:docPr id="2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4738E1" w:rsidRDefault="004738E1" w:rsidP="000B7070">
      <w:pPr>
        <w:keepNext/>
        <w:spacing w:after="0" w:line="240" w:lineRule="auto"/>
        <w:ind w:right="3"/>
        <w:rPr>
          <w:rFonts w:ascii="Times New Roman" w:eastAsia="Calibri" w:hAnsi="Times New Roman" w:cs="Times New Roman"/>
          <w:b/>
          <w:sz w:val="28"/>
        </w:rPr>
      </w:pPr>
    </w:p>
    <w:p w:rsidR="00F33E56" w:rsidRPr="00F33E56" w:rsidRDefault="00F33E56" w:rsidP="00F33E56">
      <w:pPr>
        <w:keepNext/>
        <w:spacing w:after="0" w:line="240" w:lineRule="auto"/>
        <w:ind w:left="10" w:right="3" w:hanging="10"/>
        <w:jc w:val="both"/>
        <w:rPr>
          <w:rFonts w:ascii="Calibri" w:eastAsia="Calibri" w:hAnsi="Calibri" w:cs="Times New Roman"/>
          <w:color w:val="373737"/>
          <w:sz w:val="28"/>
          <w:lang w:eastAsia="ru-RU"/>
        </w:rPr>
      </w:pPr>
    </w:p>
    <w:p w:rsidR="000B7070" w:rsidRDefault="000B7070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0B7070" w:rsidRDefault="000B7070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0B7070" w:rsidRDefault="000B7070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0B7070" w:rsidRPr="004738E1" w:rsidRDefault="000B7070" w:rsidP="004738E1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  <w:lastRenderedPageBreak/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  <w:t xml:space="preserve"> </w:t>
      </w:r>
      <w:r w:rsidRPr="000B7070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Подготовительная к школе группа</w:t>
      </w:r>
    </w:p>
    <w:p w:rsidR="00F33E56" w:rsidRPr="00F33E56" w:rsidRDefault="00F33E56" w:rsidP="000B7070">
      <w:pPr>
        <w:spacing w:after="30" w:line="254" w:lineRule="auto"/>
        <w:ind w:right="3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373737"/>
          <w:sz w:val="28"/>
          <w:lang w:val="en-US" w:eastAsia="ru-RU"/>
        </w:rPr>
        <w:t>I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eastAsia="ru-RU"/>
        </w:rPr>
        <w:t xml:space="preserve"> полугодие                                                       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val="en-US" w:eastAsia="ru-RU"/>
        </w:rPr>
        <w:t>II</w:t>
      </w:r>
      <w:r w:rsidRPr="00F33E56">
        <w:rPr>
          <w:rFonts w:ascii="Times New Roman" w:eastAsia="Times New Roman" w:hAnsi="Times New Roman" w:cs="Times New Roman"/>
          <w:color w:val="373737"/>
          <w:sz w:val="28"/>
          <w:lang w:eastAsia="ru-RU"/>
        </w:rPr>
        <w:t xml:space="preserve"> полугодие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2981325" cy="2400300"/>
            <wp:effectExtent l="0" t="0" r="9525" b="19050"/>
            <wp:docPr id="1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33E56">
        <w:rPr>
          <w:rFonts w:ascii="Times New Roman" w:eastAsia="Times New Roman" w:hAnsi="Times New Roman" w:cs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19425" cy="2409825"/>
            <wp:effectExtent l="0" t="0" r="9525" b="9525"/>
            <wp:docPr id="13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Данные диагностики показывают, что в начале года у обучающихся есть определенные затруднения, небольшой процент высокого уровня развития свидетельствует об этом, однако благодаря эффективным педагогическим методам, открытого творческого взаимодействия педагога и ребенка, системе интеграции различных видов музыкальной деятельности можно добиться высоких положительных результатов.</w:t>
      </w:r>
      <w:proofErr w:type="gramEnd"/>
      <w:r w:rsidRPr="00F33E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детьми  велась групповая и индивидуальная работа.</w:t>
      </w:r>
      <w:r w:rsidRPr="00F33E56">
        <w:rPr>
          <w:rFonts w:ascii="Times New Roman" w:eastAsia="Times New Roman" w:hAnsi="Times New Roman" w:cs="Times New Roman"/>
          <w:color w:val="373737"/>
          <w:sz w:val="28"/>
          <w:szCs w:val="24"/>
          <w:lang w:eastAsia="ru-RU"/>
        </w:rPr>
        <w:t xml:space="preserve"> 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sz w:val="28"/>
          <w:lang w:eastAsia="ru-RU"/>
        </w:rPr>
        <w:t>Группы показали стабильно хорошие результаты по данным мониторинговых исследований. Значительно вырос высокий уровень музыкального развития детей к концу учебного года.</w:t>
      </w:r>
      <w:r w:rsidRPr="00F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sz w:val="28"/>
          <w:lang w:eastAsia="ru-RU"/>
        </w:rPr>
        <w:t>Такой результат обусловлен успешным взаимодействием всех аспектов образовательного процесса, заинтересованностью, высоким профессионализмом и целеустремлённостью педагогов в достижении наилучших результатов.</w:t>
      </w:r>
    </w:p>
    <w:p w:rsidR="00F33E56" w:rsidRPr="00F33E56" w:rsidRDefault="00F33E56" w:rsidP="00F33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33E56">
        <w:rPr>
          <w:rFonts w:ascii="Times New Roman" w:eastAsia="Calibri" w:hAnsi="Times New Roman" w:cs="Times New Roman"/>
          <w:sz w:val="28"/>
        </w:rPr>
        <w:t>Таким образом, из всего вышесказанного можно сделать следующие выводы.</w:t>
      </w:r>
    </w:p>
    <w:p w:rsidR="00F33E56" w:rsidRPr="00F33E56" w:rsidRDefault="00F33E56" w:rsidP="00F33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33E56">
        <w:rPr>
          <w:rFonts w:ascii="Times New Roman" w:eastAsia="Calibri" w:hAnsi="Times New Roman" w:cs="Times New Roman"/>
          <w:sz w:val="28"/>
        </w:rPr>
        <w:t>Уровень музыкального р</w:t>
      </w:r>
      <w:r w:rsidR="000B7070">
        <w:rPr>
          <w:rFonts w:ascii="Times New Roman" w:eastAsia="Calibri" w:hAnsi="Times New Roman" w:cs="Times New Roman"/>
          <w:sz w:val="28"/>
        </w:rPr>
        <w:t xml:space="preserve">азвития детей групп к концу </w:t>
      </w:r>
      <w:r w:rsidRPr="00F33E56">
        <w:rPr>
          <w:rFonts w:ascii="Times New Roman" w:eastAsia="Calibri" w:hAnsi="Times New Roman" w:cs="Times New Roman"/>
          <w:sz w:val="28"/>
        </w:rPr>
        <w:t>2021 учебного года значительно вырос.</w:t>
      </w:r>
    </w:p>
    <w:p w:rsidR="00F33E56" w:rsidRPr="00F33E56" w:rsidRDefault="00F33E56" w:rsidP="00F33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33E56">
        <w:rPr>
          <w:rFonts w:ascii="Times New Roman" w:eastAsia="Calibri" w:hAnsi="Times New Roman" w:cs="Times New Roman"/>
          <w:sz w:val="28"/>
        </w:rPr>
        <w:t xml:space="preserve">Этому способствовало несколько факторов, таких, как: высокий профессионализм и творческий подход педагогов, их заинтересованность в </w:t>
      </w:r>
      <w:r w:rsidRPr="00F33E56">
        <w:rPr>
          <w:rFonts w:ascii="Times New Roman" w:eastAsia="Calibri" w:hAnsi="Times New Roman" w:cs="Times New Roman"/>
          <w:sz w:val="28"/>
        </w:rPr>
        <w:lastRenderedPageBreak/>
        <w:t>достижении лучших результатов; систематизированные музыкальные занятия, досуги и праздники (реализация образовательной программы).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56" w:rsidRPr="000B7070" w:rsidRDefault="00F33E56" w:rsidP="00F3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B7070">
        <w:rPr>
          <w:rFonts w:ascii="Times New Roman" w:eastAsia="Calibri" w:hAnsi="Times New Roman" w:cs="Times New Roman"/>
          <w:b/>
          <w:color w:val="000000"/>
          <w:sz w:val="28"/>
        </w:rPr>
        <w:t>Сравнительный анализ психологического обследования детей</w:t>
      </w:r>
    </w:p>
    <w:p w:rsidR="00F33E56" w:rsidRPr="000B7070" w:rsidRDefault="00CF7844" w:rsidP="00CF784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0B7070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март – май </w:t>
      </w:r>
      <w:r w:rsidR="00F33E56" w:rsidRPr="000B7070">
        <w:rPr>
          <w:rFonts w:ascii="Times New Roman" w:eastAsia="Calibri" w:hAnsi="Times New Roman" w:cs="Times New Roman"/>
          <w:b/>
          <w:color w:val="000000"/>
          <w:sz w:val="28"/>
        </w:rPr>
        <w:t>2021 учебный год</w:t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6515100" cy="3343275"/>
            <wp:effectExtent l="0" t="0" r="19050" b="9525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6429375" cy="3362325"/>
            <wp:effectExtent l="0" t="0" r="9525" b="9525"/>
            <wp:docPr id="1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6305550" cy="3895725"/>
            <wp:effectExtent l="0" t="0" r="19050" b="9525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33E56" w:rsidRPr="00F33E56" w:rsidRDefault="00F33E56" w:rsidP="00F33E56">
      <w:pPr>
        <w:spacing w:after="78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78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noProof/>
          <w:color w:val="373737"/>
          <w:sz w:val="28"/>
          <w:lang w:eastAsia="ru-RU"/>
        </w:rPr>
        <w:drawing>
          <wp:inline distT="0" distB="0" distL="0" distR="0">
            <wp:extent cx="6362700" cy="3667125"/>
            <wp:effectExtent l="0" t="0" r="19050" b="9525"/>
            <wp:docPr id="17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33E56" w:rsidRPr="00F33E56" w:rsidRDefault="00F33E56" w:rsidP="00F33E56">
      <w:pPr>
        <w:spacing w:after="78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78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Итоги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данного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мониторинга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помогут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педагогам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определить дифференцированный подход к каждому ребёнку в подборе форм организации, методов и приёмов воспитания и развития на новый учебный год. 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сравнительный анализ результатов мониторинга в начале и в конце учебного года показывает рост усвоения </w:t>
      </w:r>
      <w:r w:rsidR="000B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воспитанниками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 материала, то есть прослеживается положительная динамика развития ребенка по всем видам деятельности. В основном показатели выполнения  основной общеобразовательной программы дошкольного образования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Очевиден положительный результат проделанной работы: низкий уровень усвоения программы детьми сведён к минимуму, различия в высоком и достаточном уровне незначительны, знания детей прочные. Дошкольники способны применять их в повседневной деятельности.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1.Проводить индивидуальную работу с</w:t>
      </w:r>
      <w:r w:rsidR="000B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воспитанниками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нуждаются в коррекционной работе, с целью улучшения освоения программы.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2.Организовать мероприятия способствующие реализации современных образовательных технологий в группе (детское исследование и проектирование).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Продолжать работу, направленную на улучшение посещаемости детей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(укрепление здоровья детей, закаливающие мероприятия и т.д.).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по взаимодействию с семьями воспитанников.</w:t>
      </w:r>
    </w:p>
    <w:p w:rsidR="00F33E56" w:rsidRPr="00F33E56" w:rsidRDefault="00F33E56" w:rsidP="00F33E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Продолжать работу по освоению и реализации современных педагогических технологий, направленных на развитие детей.</w:t>
      </w:r>
    </w:p>
    <w:p w:rsidR="00F33E56" w:rsidRPr="00F33E56" w:rsidRDefault="00F33E56" w:rsidP="00F33E56">
      <w:pPr>
        <w:spacing w:after="0" w:line="256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0" w:line="256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2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результатов адаптации обучающихся </w:t>
      </w:r>
      <w:r w:rsidR="00CA5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раннего </w:t>
      </w: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возраста к условиям дошкольной образовательной организации. </w:t>
      </w:r>
    </w:p>
    <w:p w:rsidR="00F33E56" w:rsidRPr="00F33E56" w:rsidRDefault="00F33E56" w:rsidP="00F33E56">
      <w:pPr>
        <w:spacing w:after="18" w:line="254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33E56" w:rsidRPr="00F33E56" w:rsidRDefault="00CA5BE8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  <w:r w:rsidR="0041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раннего возраста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</w:t>
      </w:r>
      <w:r w:rsidR="0041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адаптационного периода </w:t>
      </w:r>
      <w:r w:rsidR="00F33E56"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велась по следующим направлениям: </w:t>
      </w:r>
    </w:p>
    <w:p w:rsidR="00F33E56" w:rsidRPr="00F33E56" w:rsidRDefault="00F33E56" w:rsidP="00F33E56">
      <w:pPr>
        <w:numPr>
          <w:ilvl w:val="0"/>
          <w:numId w:val="4"/>
        </w:numPr>
        <w:spacing w:after="11" w:line="266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эмоциональной благоприятной атмосферы в группе; </w:t>
      </w:r>
    </w:p>
    <w:p w:rsidR="00F33E56" w:rsidRPr="00F33E56" w:rsidRDefault="00F33E56" w:rsidP="00F33E56">
      <w:pPr>
        <w:numPr>
          <w:ilvl w:val="0"/>
          <w:numId w:val="4"/>
        </w:numPr>
        <w:spacing w:after="11" w:line="266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чувства уверенности в детях.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задач адаптационного периода – помочь ребенку как можно быстрее и безболезненнее освоится в новой среде, почувствовать себя увереннее, хозяином ситуации. А так он себя почувствует себя лишь тогда, когда узнает и поймет, какие люди его окружают, в каком помещении он живет. Решению этой задачи, начиная с первого дня в детском саду, посвящается все первое полугодие. Для формирования чувства уверенности в окружающем мире знакомство проводится в игровой форме.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Для этого первое знакомство с воспитателями и детьми проходило в благоприятной, насыщенной положительными эмоциями обстановке.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всего адаптационного периода проводились игровые занятия, основными задачами которых были:  </w:t>
      </w:r>
    </w:p>
    <w:p w:rsidR="00F33E56" w:rsidRPr="00F33E56" w:rsidRDefault="00F33E56" w:rsidP="00F33E56">
      <w:pPr>
        <w:numPr>
          <w:ilvl w:val="0"/>
          <w:numId w:val="4"/>
        </w:numPr>
        <w:spacing w:after="11" w:line="266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стрессовых состояний у детей, эмоционального и мышечного напряжения; </w:t>
      </w:r>
    </w:p>
    <w:p w:rsidR="00F33E56" w:rsidRPr="00F33E56" w:rsidRDefault="00F33E56" w:rsidP="00F33E56">
      <w:pPr>
        <w:numPr>
          <w:ilvl w:val="0"/>
          <w:numId w:val="4"/>
        </w:numPr>
        <w:spacing w:after="11" w:line="266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импульсивности, излишней двигательной активности, тревоги, агрессии; </w:t>
      </w:r>
    </w:p>
    <w:p w:rsidR="00F33E56" w:rsidRPr="00F33E56" w:rsidRDefault="00F33E56" w:rsidP="00F33E56">
      <w:pPr>
        <w:numPr>
          <w:ilvl w:val="0"/>
          <w:numId w:val="4"/>
        </w:numPr>
        <w:spacing w:after="11" w:line="266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взаимодействия детей друг с другом;  </w:t>
      </w:r>
    </w:p>
    <w:p w:rsidR="00F33E56" w:rsidRPr="00F33E56" w:rsidRDefault="00F33E56" w:rsidP="00F33E56">
      <w:pPr>
        <w:numPr>
          <w:ilvl w:val="0"/>
          <w:numId w:val="4"/>
        </w:numPr>
        <w:spacing w:after="2" w:line="254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речевой активности, восприятия, внимания; </w:t>
      </w:r>
    </w:p>
    <w:p w:rsidR="00F33E56" w:rsidRPr="00F33E56" w:rsidRDefault="00F33E56" w:rsidP="00F33E56">
      <w:pPr>
        <w:numPr>
          <w:ilvl w:val="0"/>
          <w:numId w:val="4"/>
        </w:numPr>
        <w:spacing w:after="2" w:line="254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и мелкой моторики, координации движений;</w:t>
      </w:r>
    </w:p>
    <w:p w:rsidR="00F33E56" w:rsidRPr="00F33E56" w:rsidRDefault="00F33E56" w:rsidP="00F33E56">
      <w:pPr>
        <w:numPr>
          <w:ilvl w:val="0"/>
          <w:numId w:val="4"/>
        </w:numPr>
        <w:spacing w:after="2" w:line="254" w:lineRule="auto"/>
        <w:ind w:right="66" w:hanging="1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игровых умений и навыков.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анализу адаптации, был сделан вывод, что большинство детей </w:t>
      </w:r>
      <w:r w:rsidR="0041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адаптировались к маю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Этому фактору способствовал и тесный контакт с родителями.  Таким образом, следует считать, что выбранная методика адаптации детей к ДОУ является успешной, а условия создаваемые – благополучными. </w:t>
      </w:r>
    </w:p>
    <w:p w:rsidR="00F33E56" w:rsidRPr="00F33E56" w:rsidRDefault="00F33E56" w:rsidP="00F33E56">
      <w:pPr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F33E56" w:rsidRPr="00F33E56" w:rsidRDefault="00F33E56" w:rsidP="00F33E56">
      <w:pPr>
        <w:spacing w:after="30" w:line="254" w:lineRule="auto"/>
        <w:ind w:left="-15"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таким образом, образовательная деятельность в ДОУ реализуется на достаточно высоком уровне. </w:t>
      </w:r>
    </w:p>
    <w:p w:rsidR="00F33E56" w:rsidRPr="00F33E56" w:rsidRDefault="00F33E56" w:rsidP="00F33E56">
      <w:pPr>
        <w:spacing w:after="30" w:line="254" w:lineRule="auto"/>
        <w:ind w:left="-5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33E56" w:rsidRPr="00F33E56" w:rsidRDefault="00F33E56" w:rsidP="00F33E56">
      <w:pPr>
        <w:numPr>
          <w:ilvl w:val="0"/>
          <w:numId w:val="5"/>
        </w:numPr>
        <w:spacing w:after="30" w:line="254" w:lineRule="auto"/>
        <w:ind w:right="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групп и специалистам совершенствовать работу по самостоятельной и совместной деятельности детей в образовательных областях «Речевое развит</w:t>
      </w:r>
      <w:r w:rsidR="0041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ие» и «Познавательное развитие»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6" w:rsidRPr="00F33E56" w:rsidRDefault="00F33E56" w:rsidP="00F33E56">
      <w:pPr>
        <w:tabs>
          <w:tab w:val="center" w:pos="3234"/>
        </w:tabs>
        <w:spacing w:after="30" w:line="254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Сроки исполнения: систематично, в течение года </w:t>
      </w:r>
    </w:p>
    <w:p w:rsidR="00F33E56" w:rsidRPr="00F33E56" w:rsidRDefault="00F33E56" w:rsidP="00F33E56">
      <w:pPr>
        <w:numPr>
          <w:ilvl w:val="0"/>
          <w:numId w:val="5"/>
        </w:numPr>
        <w:spacing w:after="30" w:line="254" w:lineRule="auto"/>
        <w:ind w:right="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дифференцированный подход в течение года с целью улучшения освоения программы и развития интегративных качеств. </w:t>
      </w:r>
    </w:p>
    <w:p w:rsidR="00F33E56" w:rsidRPr="00F33E56" w:rsidRDefault="00F33E56" w:rsidP="00F33E56">
      <w:pPr>
        <w:tabs>
          <w:tab w:val="center" w:pos="3172"/>
        </w:tabs>
        <w:spacing w:after="30" w:line="254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Срок исполнения: систематично, в течение года </w:t>
      </w:r>
    </w:p>
    <w:p w:rsidR="00F33E56" w:rsidRPr="00F33E56" w:rsidRDefault="00F33E56" w:rsidP="00F33E56">
      <w:pPr>
        <w:numPr>
          <w:ilvl w:val="0"/>
          <w:numId w:val="5"/>
        </w:numPr>
        <w:spacing w:after="30" w:line="254" w:lineRule="auto"/>
        <w:ind w:right="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воспитательно-образовательной работы учитывать результаты мониторинга. </w:t>
      </w:r>
    </w:p>
    <w:p w:rsidR="00F33E56" w:rsidRDefault="00F33E56" w:rsidP="00F33E56">
      <w:pPr>
        <w:tabs>
          <w:tab w:val="center" w:pos="3000"/>
        </w:tabs>
        <w:spacing w:after="30" w:line="254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3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исполнения: постоянно, в течение года </w:t>
      </w:r>
    </w:p>
    <w:p w:rsidR="00F82C36" w:rsidRDefault="00F82C36" w:rsidP="00F33E56">
      <w:pPr>
        <w:tabs>
          <w:tab w:val="center" w:pos="3000"/>
        </w:tabs>
        <w:spacing w:after="30" w:line="254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C36" w:rsidRPr="00F82C36" w:rsidRDefault="00F82C36" w:rsidP="00F33E56">
      <w:pPr>
        <w:tabs>
          <w:tab w:val="center" w:pos="3000"/>
        </w:tabs>
        <w:spacing w:after="30" w:line="254" w:lineRule="auto"/>
        <w:ind w:lef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уровня готовности детей подготовительной к школе группы №4 к обучению к школе.</w:t>
      </w:r>
    </w:p>
    <w:p w:rsidR="00F33E56" w:rsidRDefault="00F82C36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мае 2021 года  проведена диагностика обследования детей подготовительной к школе группы №4 по готовности к школе. Количество детей в группе №4 </w:t>
      </w:r>
      <w:r w:rsidR="003A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 из них уходят в школу: 4 ребенка.</w:t>
      </w:r>
    </w:p>
    <w:tbl>
      <w:tblPr>
        <w:tblStyle w:val="a5"/>
        <w:tblW w:w="0" w:type="auto"/>
        <w:tblLook w:val="04A0"/>
      </w:tblPr>
      <w:tblGrid>
        <w:gridCol w:w="2494"/>
        <w:gridCol w:w="2361"/>
        <w:gridCol w:w="2359"/>
        <w:gridCol w:w="2357"/>
      </w:tblGrid>
      <w:tr w:rsidR="003A4406" w:rsidTr="003A4406">
        <w:tc>
          <w:tcPr>
            <w:tcW w:w="2392" w:type="dxa"/>
          </w:tcPr>
          <w:p w:rsidR="003A4406" w:rsidRP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Образовательные области:</w:t>
            </w:r>
          </w:p>
        </w:tc>
        <w:tc>
          <w:tcPr>
            <w:tcW w:w="2393" w:type="dxa"/>
          </w:tcPr>
          <w:p w:rsidR="003A4406" w:rsidRP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2393" w:type="dxa"/>
          </w:tcPr>
          <w:p w:rsidR="003A4406" w:rsidRP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393" w:type="dxa"/>
          </w:tcPr>
          <w:p w:rsidR="003A4406" w:rsidRP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44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</w:tc>
      </w:tr>
      <w:tr w:rsidR="003A4406" w:rsidTr="003A4406">
        <w:tc>
          <w:tcPr>
            <w:tcW w:w="2392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3A4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0%</w:t>
            </w:r>
          </w:p>
        </w:tc>
        <w:tc>
          <w:tcPr>
            <w:tcW w:w="2393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0%</w:t>
            </w:r>
          </w:p>
        </w:tc>
      </w:tr>
      <w:tr w:rsidR="003A4406" w:rsidTr="003A4406">
        <w:tc>
          <w:tcPr>
            <w:tcW w:w="2392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41,4%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58,6%</w:t>
            </w:r>
          </w:p>
        </w:tc>
        <w:tc>
          <w:tcPr>
            <w:tcW w:w="2393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0%</w:t>
            </w:r>
          </w:p>
        </w:tc>
      </w:tr>
      <w:tr w:rsidR="003A4406" w:rsidTr="003A4406">
        <w:tc>
          <w:tcPr>
            <w:tcW w:w="2392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3A4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0%</w:t>
            </w:r>
          </w:p>
        </w:tc>
        <w:tc>
          <w:tcPr>
            <w:tcW w:w="2393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0%</w:t>
            </w:r>
          </w:p>
        </w:tc>
      </w:tr>
      <w:tr w:rsidR="003A4406" w:rsidTr="003A4406">
        <w:tc>
          <w:tcPr>
            <w:tcW w:w="2392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3A4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0%</w:t>
            </w:r>
          </w:p>
        </w:tc>
        <w:tc>
          <w:tcPr>
            <w:tcW w:w="2393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0%</w:t>
            </w:r>
          </w:p>
        </w:tc>
      </w:tr>
      <w:tr w:rsidR="003A4406" w:rsidTr="003A4406">
        <w:tc>
          <w:tcPr>
            <w:tcW w:w="2392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3A4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93" w:type="dxa"/>
          </w:tcPr>
          <w:p w:rsidR="003A4406" w:rsidRDefault="00BC3AEE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0%</w:t>
            </w:r>
          </w:p>
        </w:tc>
        <w:tc>
          <w:tcPr>
            <w:tcW w:w="2393" w:type="dxa"/>
          </w:tcPr>
          <w:p w:rsidR="003A4406" w:rsidRDefault="003A4406" w:rsidP="00F33E56">
            <w:pPr>
              <w:spacing w:line="256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0%</w:t>
            </w:r>
          </w:p>
        </w:tc>
      </w:tr>
    </w:tbl>
    <w:p w:rsidR="003A4406" w:rsidRPr="00F33E56" w:rsidRDefault="003A4406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Default="00BC3AEE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результатов мониторинга в начале ив конце учебного года показывает высокую динамику усвоения программного материала детьми. В целом по детскому саду можно отметить, что работа по основной образовательной программе 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ДС», построенной на основе примерной образовательной программе дошкольного образования «От рождения до школы» / Под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Э.М.Дорофеевой. – М.: МОЗАИКА – СИНТЕЗ, 2020г. благотворно сказывается на результатах итогового мониторинга. Таким образом, образовательная деятельность в ДОУ реализуется на достаточном уровне. В целом итоги постоянного мониторинга образовательного процесса в ДОУ по ФГОС дают возможность видеть индивидуальные и групповые результаты работы педагогов. Структурированное и формализованное представление результатов позволяет корректировать направления работы с дошкольниками и максимально эффективно использовать все имеющиеся в ДОУ ресурсы.</w:t>
      </w:r>
    </w:p>
    <w:p w:rsidR="001E4122" w:rsidRPr="001E4122" w:rsidRDefault="001E4122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4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1E4122" w:rsidRPr="001E4122" w:rsidRDefault="001E4122" w:rsidP="001E4122">
      <w:pPr>
        <w:pStyle w:val="a6"/>
        <w:numPr>
          <w:ilvl w:val="0"/>
          <w:numId w:val="6"/>
        </w:numPr>
        <w:spacing w:after="0" w:line="256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всех групп совершенствовать работу по самостоятельной и совместной деятельности.</w:t>
      </w:r>
    </w:p>
    <w:p w:rsidR="00F33E56" w:rsidRPr="00F33E56" w:rsidRDefault="00F33E56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56" w:rsidRPr="00F33E56" w:rsidRDefault="00F33E56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     __________</w:t>
      </w:r>
      <w:r w:rsidRPr="00F33E5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4159E7">
        <w:rPr>
          <w:rFonts w:ascii="Times New Roman" w:eastAsia="Times New Roman" w:hAnsi="Times New Roman" w:cs="Times New Roman"/>
          <w:sz w:val="28"/>
          <w:lang w:eastAsia="ru-RU"/>
        </w:rPr>
        <w:t>Баркина</w:t>
      </w:r>
      <w:proofErr w:type="spellEnd"/>
      <w:r w:rsidR="004159E7">
        <w:rPr>
          <w:rFonts w:ascii="Times New Roman" w:eastAsia="Times New Roman" w:hAnsi="Times New Roman" w:cs="Times New Roman"/>
          <w:sz w:val="28"/>
          <w:lang w:eastAsia="ru-RU"/>
        </w:rPr>
        <w:t xml:space="preserve"> Е.А.</w:t>
      </w:r>
    </w:p>
    <w:p w:rsidR="00F33E56" w:rsidRPr="00F33E56" w:rsidRDefault="00F33E56" w:rsidP="00F33E56">
      <w:pPr>
        <w:spacing w:after="0" w:line="256" w:lineRule="auto"/>
        <w:ind w:right="9"/>
        <w:rPr>
          <w:rFonts w:ascii="Times New Roman" w:eastAsia="Times New Roman" w:hAnsi="Times New Roman" w:cs="Times New Roman"/>
          <w:sz w:val="28"/>
          <w:lang w:eastAsia="ru-RU"/>
        </w:rPr>
      </w:pPr>
      <w:r w:rsidRPr="00F33E56">
        <w:rPr>
          <w:rFonts w:ascii="Times New Roman" w:eastAsia="Times New Roman" w:hAnsi="Times New Roman" w:cs="Times New Roman"/>
          <w:sz w:val="28"/>
          <w:lang w:eastAsia="ru-RU"/>
        </w:rPr>
        <w:t>31.05.2021г</w:t>
      </w:r>
    </w:p>
    <w:p w:rsidR="004A3C3E" w:rsidRDefault="004A3C3E"/>
    <w:sectPr w:rsidR="004A3C3E" w:rsidSect="00E2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801"/>
    <w:multiLevelType w:val="hybridMultilevel"/>
    <w:tmpl w:val="53F41BCE"/>
    <w:lvl w:ilvl="0" w:tplc="49D855BA">
      <w:start w:val="1"/>
      <w:numFmt w:val="decimal"/>
      <w:lvlText w:val="%1."/>
      <w:lvlJc w:val="left"/>
      <w:pPr>
        <w:ind w:left="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>
      <w:start w:val="1"/>
      <w:numFmt w:val="lowerRoman"/>
      <w:lvlText w:val="%3."/>
      <w:lvlJc w:val="right"/>
      <w:pPr>
        <w:ind w:left="1785" w:hanging="180"/>
      </w:pPr>
    </w:lvl>
    <w:lvl w:ilvl="3" w:tplc="0419000F">
      <w:start w:val="1"/>
      <w:numFmt w:val="decimal"/>
      <w:lvlText w:val="%4."/>
      <w:lvlJc w:val="left"/>
      <w:pPr>
        <w:ind w:left="2505" w:hanging="360"/>
      </w:pPr>
    </w:lvl>
    <w:lvl w:ilvl="4" w:tplc="04190019">
      <w:start w:val="1"/>
      <w:numFmt w:val="lowerLetter"/>
      <w:lvlText w:val="%5."/>
      <w:lvlJc w:val="left"/>
      <w:pPr>
        <w:ind w:left="3225" w:hanging="360"/>
      </w:pPr>
    </w:lvl>
    <w:lvl w:ilvl="5" w:tplc="0419001B">
      <w:start w:val="1"/>
      <w:numFmt w:val="lowerRoman"/>
      <w:lvlText w:val="%6."/>
      <w:lvlJc w:val="right"/>
      <w:pPr>
        <w:ind w:left="3945" w:hanging="180"/>
      </w:pPr>
    </w:lvl>
    <w:lvl w:ilvl="6" w:tplc="0419000F">
      <w:start w:val="1"/>
      <w:numFmt w:val="decimal"/>
      <w:lvlText w:val="%7."/>
      <w:lvlJc w:val="left"/>
      <w:pPr>
        <w:ind w:left="4665" w:hanging="360"/>
      </w:pPr>
    </w:lvl>
    <w:lvl w:ilvl="7" w:tplc="04190019">
      <w:start w:val="1"/>
      <w:numFmt w:val="lowerLetter"/>
      <w:lvlText w:val="%8."/>
      <w:lvlJc w:val="left"/>
      <w:pPr>
        <w:ind w:left="5385" w:hanging="360"/>
      </w:pPr>
    </w:lvl>
    <w:lvl w:ilvl="8" w:tplc="0419001B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50520E51"/>
    <w:multiLevelType w:val="hybridMultilevel"/>
    <w:tmpl w:val="D84433BA"/>
    <w:lvl w:ilvl="0" w:tplc="F8B6F214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2462F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D5442D2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B45182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F85BD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EEC4B1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1A0692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188FDDC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62729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6E71DBD"/>
    <w:multiLevelType w:val="hybridMultilevel"/>
    <w:tmpl w:val="1520D9AA"/>
    <w:lvl w:ilvl="0" w:tplc="D118049C">
      <w:start w:val="1"/>
      <w:numFmt w:val="bullet"/>
      <w:lvlText w:val="-"/>
      <w:lvlJc w:val="left"/>
      <w:pPr>
        <w:ind w:left="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E48240">
      <w:start w:val="1"/>
      <w:numFmt w:val="bullet"/>
      <w:lvlText w:val="o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1A1082">
      <w:start w:val="1"/>
      <w:numFmt w:val="bullet"/>
      <w:lvlText w:val="▪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736AEF6">
      <w:start w:val="1"/>
      <w:numFmt w:val="bullet"/>
      <w:lvlText w:val="•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DE22C8">
      <w:start w:val="1"/>
      <w:numFmt w:val="bullet"/>
      <w:lvlText w:val="o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4A3C04">
      <w:start w:val="1"/>
      <w:numFmt w:val="bullet"/>
      <w:lvlText w:val="▪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50E2D2">
      <w:start w:val="1"/>
      <w:numFmt w:val="bullet"/>
      <w:lvlText w:val="•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08AE52">
      <w:start w:val="1"/>
      <w:numFmt w:val="bullet"/>
      <w:lvlText w:val="o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DECA4C">
      <w:start w:val="1"/>
      <w:numFmt w:val="bullet"/>
      <w:lvlText w:val="▪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6134552"/>
    <w:multiLevelType w:val="hybridMultilevel"/>
    <w:tmpl w:val="6FE0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F357C"/>
    <w:multiLevelType w:val="hybridMultilevel"/>
    <w:tmpl w:val="0F8A9A4A"/>
    <w:lvl w:ilvl="0" w:tplc="86248FB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860C9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94C6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C2B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AFE5C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E40E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0CE1A9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4CF5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D436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73737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21D0599"/>
    <w:multiLevelType w:val="hybridMultilevel"/>
    <w:tmpl w:val="C86A3E94"/>
    <w:lvl w:ilvl="0" w:tplc="10FA9C5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E27AC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3082F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A20750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1C57F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78E16E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5C469C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4A0862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F0A45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3DE"/>
    <w:rsid w:val="00043DDB"/>
    <w:rsid w:val="000A77E7"/>
    <w:rsid w:val="000B7070"/>
    <w:rsid w:val="001E4122"/>
    <w:rsid w:val="0025137A"/>
    <w:rsid w:val="003A4406"/>
    <w:rsid w:val="004159E7"/>
    <w:rsid w:val="004738E1"/>
    <w:rsid w:val="004A3C3E"/>
    <w:rsid w:val="004C63DE"/>
    <w:rsid w:val="00661A17"/>
    <w:rsid w:val="007618A7"/>
    <w:rsid w:val="00881EE5"/>
    <w:rsid w:val="00911D3F"/>
    <w:rsid w:val="00BC3AEE"/>
    <w:rsid w:val="00C92424"/>
    <w:rsid w:val="00CA5BE8"/>
    <w:rsid w:val="00CF7844"/>
    <w:rsid w:val="00E22D38"/>
    <w:rsid w:val="00F33E56"/>
    <w:rsid w:val="00F82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E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4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6346516087428751E-2"/>
          <c:y val="6.4281398224824302E-2"/>
          <c:w val="0.63849716306510651"/>
          <c:h val="0.641048207047241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36</c:v>
                </c:pt>
                <c:pt idx="2">
                  <c:v>52</c:v>
                </c:pt>
                <c:pt idx="3">
                  <c:v>38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95-44E8-9B1C-34DD28FE5C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60</c:v>
                </c:pt>
                <c:pt idx="2">
                  <c:v>48</c:v>
                </c:pt>
                <c:pt idx="3">
                  <c:v>62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95-44E8-9B1C-34DD28FE5C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95-44E8-9B1C-34DD28FE5CC0}"/>
            </c:ext>
          </c:extLst>
        </c:ser>
        <c:axId val="99591680"/>
        <c:axId val="101761792"/>
      </c:barChart>
      <c:catAx>
        <c:axId val="99591680"/>
        <c:scaling>
          <c:orientation val="minMax"/>
        </c:scaling>
        <c:axPos val="b"/>
        <c:numFmt formatCode="General" sourceLinked="0"/>
        <c:tickLblPos val="nextTo"/>
        <c:crossAx val="101761792"/>
        <c:crosses val="autoZero"/>
        <c:auto val="1"/>
        <c:lblAlgn val="ctr"/>
        <c:lblOffset val="100"/>
      </c:catAx>
      <c:valAx>
        <c:axId val="101761792"/>
        <c:scaling>
          <c:orientation val="minMax"/>
        </c:scaling>
        <c:axPos val="l"/>
        <c:majorGridlines/>
        <c:numFmt formatCode="General" sourceLinked="1"/>
        <c:tickLblPos val="nextTo"/>
        <c:crossAx val="995916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Младше - средняя группа </a:t>
            </a:r>
            <a:endPara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4704268737241212"/>
          <c:y val="3.5714285714285712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75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98-48EA-8A9F-3CB8644714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98-48EA-8A9F-3CB86447144C}"/>
            </c:ext>
          </c:extLst>
        </c:ser>
        <c:gapWidth val="219"/>
        <c:overlap val="-27"/>
        <c:axId val="98955648"/>
        <c:axId val="98957184"/>
      </c:barChart>
      <c:catAx>
        <c:axId val="9895564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57184"/>
        <c:crosses val="autoZero"/>
        <c:auto val="1"/>
        <c:lblAlgn val="ctr"/>
        <c:lblOffset val="100"/>
      </c:catAx>
      <c:valAx>
        <c:axId val="98957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55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Старшая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группа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ВНИМАНИЕ</c:v>
                </c:pt>
                <c:pt idx="1">
                  <c:v>ЗРИТЕЛЬНАЯ ПАМЯТЬ</c:v>
                </c:pt>
                <c:pt idx="2">
                  <c:v>МЫШЛЕНИЕ</c:v>
                </c:pt>
                <c:pt idx="3">
                  <c:v>ВОСПРИЯТИЕ</c:v>
                </c:pt>
                <c:pt idx="4">
                  <c:v>УТОМЛЕНИЕ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44</c:v>
                </c:pt>
                <c:pt idx="2">
                  <c:v>22</c:v>
                </c:pt>
                <c:pt idx="3">
                  <c:v>50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9F-4C7C-BAAC-0BFF269833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ВНИМАНИЕ</c:v>
                </c:pt>
                <c:pt idx="1">
                  <c:v>ЗРИТЕЛЬНАЯ ПАМЯТЬ</c:v>
                </c:pt>
                <c:pt idx="2">
                  <c:v>МЫШЛЕНИЕ</c:v>
                </c:pt>
                <c:pt idx="3">
                  <c:v>ВОСПРИЯТИЕ</c:v>
                </c:pt>
                <c:pt idx="4">
                  <c:v>УТОМЛЕНИЕ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67</c:v>
                </c:pt>
                <c:pt idx="1">
                  <c:v>87</c:v>
                </c:pt>
                <c:pt idx="2">
                  <c:v>85</c:v>
                </c:pt>
                <c:pt idx="3">
                  <c:v>85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9F-4C7C-BAAC-0BFF26983395}"/>
            </c:ext>
          </c:extLst>
        </c:ser>
        <c:gapWidth val="219"/>
        <c:overlap val="-27"/>
        <c:axId val="99016704"/>
        <c:axId val="99018240"/>
      </c:barChart>
      <c:catAx>
        <c:axId val="99016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18240"/>
        <c:crosses val="autoZero"/>
        <c:auto val="1"/>
        <c:lblAlgn val="ctr"/>
        <c:lblOffset val="100"/>
      </c:catAx>
      <c:valAx>
        <c:axId val="99018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1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Подготовительная</a:t>
            </a:r>
            <a:r>
              <a:rPr lang="ru-RU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к школе группа</a:t>
            </a:r>
            <a:endPara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САМОРЕГУЛЯЦИЯ</c:v>
                </c:pt>
                <c:pt idx="1">
                  <c:v>СЛОВАРЬ</c:v>
                </c:pt>
                <c:pt idx="2">
                  <c:v>КРАТКОВРЕМЕННАЯ ПАМЯТЬ</c:v>
                </c:pt>
                <c:pt idx="3">
                  <c:v>УМОЗАКЛЮЧЕНИЯ</c:v>
                </c:pt>
                <c:pt idx="4">
                  <c:v>СПИЧКИ</c:v>
                </c:pt>
                <c:pt idx="5">
                  <c:v>4-Й ЛИШНИЙ</c:v>
                </c:pt>
                <c:pt idx="6">
                  <c:v>ДОМ</c:v>
                </c:pt>
                <c:pt idx="7">
                  <c:v>КРУЖКИ</c:v>
                </c:pt>
                <c:pt idx="8">
                  <c:v>МОТИВАЦИЯ</c:v>
                </c:pt>
                <c:pt idx="9">
                  <c:v>ФОНЕМАТИЧЕСКИЙ СЛУХ</c:v>
                </c:pt>
                <c:pt idx="10">
                  <c:v>УМСТВЕННАЯ АКТИВНОСТЬ</c:v>
                </c:pt>
                <c:pt idx="11">
                  <c:v>УТОМЛЯЕМОСТЬ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50</c:v>
                </c:pt>
                <c:pt idx="1">
                  <c:v>42</c:v>
                </c:pt>
                <c:pt idx="2">
                  <c:v>67</c:v>
                </c:pt>
                <c:pt idx="3">
                  <c:v>42</c:v>
                </c:pt>
                <c:pt idx="4">
                  <c:v>42</c:v>
                </c:pt>
                <c:pt idx="5">
                  <c:v>33</c:v>
                </c:pt>
                <c:pt idx="6">
                  <c:v>33</c:v>
                </c:pt>
                <c:pt idx="7">
                  <c:v>33</c:v>
                </c:pt>
                <c:pt idx="8">
                  <c:v>58</c:v>
                </c:pt>
                <c:pt idx="9">
                  <c:v>83</c:v>
                </c:pt>
                <c:pt idx="10">
                  <c:v>96</c:v>
                </c:pt>
                <c:pt idx="1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16-467D-A1D6-CBCE33B131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САМОРЕГУЛЯЦИЯ</c:v>
                </c:pt>
                <c:pt idx="1">
                  <c:v>СЛОВАРЬ</c:v>
                </c:pt>
                <c:pt idx="2">
                  <c:v>КРАТКОВРЕМЕННАЯ ПАМЯТЬ</c:v>
                </c:pt>
                <c:pt idx="3">
                  <c:v>УМОЗАКЛЮЧЕНИЯ</c:v>
                </c:pt>
                <c:pt idx="4">
                  <c:v>СПИЧКИ</c:v>
                </c:pt>
                <c:pt idx="5">
                  <c:v>4-Й ЛИШНИЙ</c:v>
                </c:pt>
                <c:pt idx="6">
                  <c:v>ДОМ</c:v>
                </c:pt>
                <c:pt idx="7">
                  <c:v>КРУЖКИ</c:v>
                </c:pt>
                <c:pt idx="8">
                  <c:v>МОТИВАЦИЯ</c:v>
                </c:pt>
                <c:pt idx="9">
                  <c:v>ФОНЕМАТИЧЕСКИЙ СЛУХ</c:v>
                </c:pt>
                <c:pt idx="10">
                  <c:v>УМСТВЕННАЯ АКТИВНОСТЬ</c:v>
                </c:pt>
                <c:pt idx="11">
                  <c:v>УТОМЛЯЕМОСТЬ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100</c:v>
                </c:pt>
                <c:pt idx="5">
                  <c:v>96</c:v>
                </c:pt>
                <c:pt idx="6">
                  <c:v>96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96</c:v>
                </c:pt>
                <c:pt idx="1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16-467D-A1D6-CBCE33B1313C}"/>
            </c:ext>
          </c:extLst>
        </c:ser>
        <c:dLbls>
          <c:showVal val="1"/>
        </c:dLbls>
        <c:gapWidth val="219"/>
        <c:overlap val="-27"/>
        <c:axId val="99070336"/>
        <c:axId val="99071872"/>
      </c:barChart>
      <c:catAx>
        <c:axId val="99070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71872"/>
        <c:crosses val="autoZero"/>
        <c:auto val="1"/>
        <c:lblAlgn val="ctr"/>
        <c:lblOffset val="100"/>
      </c:catAx>
      <c:valAx>
        <c:axId val="99071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7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3409456403930729E-2"/>
          <c:y val="3.6195112787839906E-2"/>
          <c:w val="0.61778107911533564"/>
          <c:h val="0.641987915335978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E9-489F-8A2A-AF4EB80A46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</c:v>
                </c:pt>
                <c:pt idx="1">
                  <c:v>76</c:v>
                </c:pt>
                <c:pt idx="2">
                  <c:v>84</c:v>
                </c:pt>
                <c:pt idx="3">
                  <c:v>76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E9-489F-8A2A-AF4EB80A46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16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E9-489F-8A2A-AF4EB80A4682}"/>
            </c:ext>
          </c:extLst>
        </c:ser>
        <c:axId val="104990976"/>
        <c:axId val="105292160"/>
      </c:barChart>
      <c:catAx>
        <c:axId val="104990976"/>
        <c:scaling>
          <c:orientation val="minMax"/>
        </c:scaling>
        <c:axPos val="b"/>
        <c:numFmt formatCode="General" sourceLinked="0"/>
        <c:tickLblPos val="nextTo"/>
        <c:crossAx val="105292160"/>
        <c:crosses val="autoZero"/>
        <c:auto val="1"/>
        <c:lblAlgn val="ctr"/>
        <c:lblOffset val="100"/>
      </c:catAx>
      <c:valAx>
        <c:axId val="105292160"/>
        <c:scaling>
          <c:orientation val="minMax"/>
        </c:scaling>
        <c:axPos val="l"/>
        <c:majorGridlines/>
        <c:numFmt formatCode="General" sourceLinked="1"/>
        <c:tickLblPos val="nextTo"/>
        <c:crossAx val="1049909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6346516087428723E-2"/>
          <c:y val="6.4281398224824288E-2"/>
          <c:w val="0.63849716306510651"/>
          <c:h val="0.641048207047241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24</c:v>
                </c:pt>
                <c:pt idx="2">
                  <c:v>40</c:v>
                </c:pt>
                <c:pt idx="3">
                  <c:v>24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0D-4933-942B-9E492321AB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59</c:v>
                </c:pt>
                <c:pt idx="3">
                  <c:v>72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0D-4933-942B-9E492321AB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16</c:v>
                </c:pt>
                <c:pt idx="2">
                  <c:v>10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0D-4933-942B-9E492321AB70}"/>
            </c:ext>
          </c:extLst>
        </c:ser>
        <c:axId val="92247936"/>
        <c:axId val="92249472"/>
      </c:barChart>
      <c:catAx>
        <c:axId val="92247936"/>
        <c:scaling>
          <c:orientation val="minMax"/>
        </c:scaling>
        <c:axPos val="b"/>
        <c:numFmt formatCode="General" sourceLinked="0"/>
        <c:tickLblPos val="nextTo"/>
        <c:crossAx val="92249472"/>
        <c:crosses val="autoZero"/>
        <c:auto val="1"/>
        <c:lblAlgn val="ctr"/>
        <c:lblOffset val="100"/>
      </c:catAx>
      <c:valAx>
        <c:axId val="92249472"/>
        <c:scaling>
          <c:orientation val="minMax"/>
        </c:scaling>
        <c:axPos val="l"/>
        <c:majorGridlines/>
        <c:numFmt formatCode="General" sourceLinked="1"/>
        <c:tickLblPos val="nextTo"/>
        <c:crossAx val="922479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3409456403930729E-2"/>
          <c:y val="3.6195112787839906E-2"/>
          <c:w val="0.61778107911533564"/>
          <c:h val="0.641987915335978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5B-43C5-A3EC-9DEE0C4C03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</c:v>
                </c:pt>
                <c:pt idx="1">
                  <c:v>76</c:v>
                </c:pt>
                <c:pt idx="2">
                  <c:v>84</c:v>
                </c:pt>
                <c:pt idx="3">
                  <c:v>76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5B-43C5-A3EC-9DEE0C4C03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16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5B-43C5-A3EC-9DEE0C4C031C}"/>
            </c:ext>
          </c:extLst>
        </c:ser>
        <c:axId val="92762496"/>
        <c:axId val="92764032"/>
      </c:barChart>
      <c:catAx>
        <c:axId val="92762496"/>
        <c:scaling>
          <c:orientation val="minMax"/>
        </c:scaling>
        <c:axPos val="b"/>
        <c:numFmt formatCode="General" sourceLinked="0"/>
        <c:tickLblPos val="nextTo"/>
        <c:crossAx val="92764032"/>
        <c:crosses val="autoZero"/>
        <c:auto val="1"/>
        <c:lblAlgn val="ctr"/>
        <c:lblOffset val="100"/>
      </c:catAx>
      <c:valAx>
        <c:axId val="92764032"/>
        <c:scaling>
          <c:orientation val="minMax"/>
        </c:scaling>
        <c:axPos val="l"/>
        <c:majorGridlines/>
        <c:numFmt formatCode="General" sourceLinked="1"/>
        <c:tickLblPos val="nextTo"/>
        <c:crossAx val="927624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6.3898887639045124E-2"/>
          <c:w val="0.69114501312335996"/>
          <c:h val="0.808098675165604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  <c:pt idx="2">
                  <c:v>32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8B-4758-AB3E-62DDC3EB22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68</c:v>
                </c:pt>
                <c:pt idx="2">
                  <c:v>55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8B-4758-AB3E-62DDC3EB22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12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8B-4758-AB3E-62DDC3EB22EF}"/>
            </c:ext>
          </c:extLst>
        </c:ser>
        <c:axId val="93043328"/>
        <c:axId val="93045120"/>
      </c:barChart>
      <c:catAx>
        <c:axId val="93043328"/>
        <c:scaling>
          <c:orientation val="minMax"/>
        </c:scaling>
        <c:axPos val="b"/>
        <c:numFmt formatCode="General" sourceLinked="0"/>
        <c:tickLblPos val="nextTo"/>
        <c:crossAx val="93045120"/>
        <c:crosses val="autoZero"/>
        <c:auto val="1"/>
        <c:lblAlgn val="ctr"/>
        <c:lblOffset val="100"/>
      </c:catAx>
      <c:valAx>
        <c:axId val="93045120"/>
        <c:scaling>
          <c:orientation val="minMax"/>
        </c:scaling>
        <c:axPos val="l"/>
        <c:majorGridlines/>
        <c:numFmt formatCode="General" sourceLinked="1"/>
        <c:tickLblPos val="nextTo"/>
        <c:crossAx val="930433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0.13992971601701434"/>
          <c:w val="0.67031167979002659"/>
          <c:h val="0.732078080094278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9B-4811-8D67-6C67A0E2E4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89</c:v>
                </c:pt>
                <c:pt idx="2">
                  <c:v>76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9B-4811-8D67-6C67A0E2E4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68</c:v>
                </c:pt>
                <c:pt idx="1">
                  <c:v>12</c:v>
                </c:pt>
                <c:pt idx="2">
                  <c:v>23</c:v>
                </c:pt>
                <c:pt idx="3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9B-4811-8D67-6C67A0E2E42C}"/>
            </c:ext>
          </c:extLst>
        </c:ser>
        <c:axId val="93058176"/>
        <c:axId val="93059712"/>
      </c:barChart>
      <c:catAx>
        <c:axId val="93058176"/>
        <c:scaling>
          <c:orientation val="minMax"/>
        </c:scaling>
        <c:axPos val="b"/>
        <c:numFmt formatCode="General" sourceLinked="0"/>
        <c:tickLblPos val="nextTo"/>
        <c:crossAx val="93059712"/>
        <c:crosses val="autoZero"/>
        <c:auto val="1"/>
        <c:lblAlgn val="ctr"/>
        <c:lblOffset val="100"/>
      </c:catAx>
      <c:valAx>
        <c:axId val="93059712"/>
        <c:scaling>
          <c:orientation val="minMax"/>
        </c:scaling>
        <c:axPos val="l"/>
        <c:majorGridlines/>
        <c:numFmt formatCode="General" sourceLinked="1"/>
        <c:tickLblPos val="nextTo"/>
        <c:crossAx val="930581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6.3898887639045124E-2"/>
          <c:w val="0.69114501312335996"/>
          <c:h val="0.808098675165604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</c:v>
                </c:pt>
                <c:pt idx="1">
                  <c:v>33.300000000000004</c:v>
                </c:pt>
                <c:pt idx="2">
                  <c:v>5.5</c:v>
                </c:pt>
                <c:pt idx="3">
                  <c:v>44.4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A1-4A99-AB5F-AA46CAD629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61.1</c:v>
                </c:pt>
                <c:pt idx="1">
                  <c:v>50</c:v>
                </c:pt>
                <c:pt idx="2">
                  <c:v>77.8</c:v>
                </c:pt>
                <c:pt idx="3">
                  <c:v>27.8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A1-4A99-AB5F-AA46CAD629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27.8</c:v>
                </c:pt>
                <c:pt idx="1">
                  <c:v>16.7</c:v>
                </c:pt>
                <c:pt idx="2">
                  <c:v>16.7</c:v>
                </c:pt>
                <c:pt idx="3">
                  <c:v>27.8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A1-4A99-AB5F-AA46CAD629A2}"/>
            </c:ext>
          </c:extLst>
        </c:ser>
        <c:axId val="93117824"/>
        <c:axId val="93123712"/>
      </c:barChart>
      <c:catAx>
        <c:axId val="93117824"/>
        <c:scaling>
          <c:orientation val="minMax"/>
        </c:scaling>
        <c:axPos val="b"/>
        <c:numFmt formatCode="General" sourceLinked="0"/>
        <c:tickLblPos val="nextTo"/>
        <c:crossAx val="93123712"/>
        <c:crosses val="autoZero"/>
        <c:auto val="1"/>
        <c:lblAlgn val="ctr"/>
        <c:lblOffset val="100"/>
      </c:catAx>
      <c:valAx>
        <c:axId val="93123712"/>
        <c:scaling>
          <c:orientation val="minMax"/>
        </c:scaling>
        <c:axPos val="l"/>
        <c:majorGridlines/>
        <c:numFmt formatCode="General" sourceLinked="1"/>
        <c:tickLblPos val="nextTo"/>
        <c:crossAx val="931178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0.13992971601701434"/>
          <c:w val="0.67031167979002659"/>
          <c:h val="0.732078080094278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9B-4873-A569-6BA5AAEC0D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44</c:v>
                </c:pt>
                <c:pt idx="2">
                  <c:v>67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9B-4873-A569-6BA5AAEC0D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83</c:v>
                </c:pt>
                <c:pt idx="1">
                  <c:v>39</c:v>
                </c:pt>
                <c:pt idx="2">
                  <c:v>22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9B-4873-A569-6BA5AAEC0DFE}"/>
            </c:ext>
          </c:extLst>
        </c:ser>
        <c:axId val="75097984"/>
        <c:axId val="75099520"/>
      </c:barChart>
      <c:catAx>
        <c:axId val="75097984"/>
        <c:scaling>
          <c:orientation val="minMax"/>
        </c:scaling>
        <c:axPos val="b"/>
        <c:numFmt formatCode="General" sourceLinked="0"/>
        <c:tickLblPos val="nextTo"/>
        <c:crossAx val="75099520"/>
        <c:crosses val="autoZero"/>
        <c:auto val="1"/>
        <c:lblAlgn val="ctr"/>
        <c:lblOffset val="100"/>
      </c:catAx>
      <c:valAx>
        <c:axId val="75099520"/>
        <c:scaling>
          <c:orientation val="minMax"/>
        </c:scaling>
        <c:axPos val="l"/>
        <c:majorGridlines/>
        <c:numFmt formatCode="General" sourceLinked="1"/>
        <c:tickLblPos val="nextTo"/>
        <c:crossAx val="750979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Группа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раннего возраста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11</c:v>
                </c:pt>
                <c:pt idx="2">
                  <c:v>56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36-439D-B51F-01D029C9CF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100</c:v>
                </c:pt>
                <c:pt idx="3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36-439D-B51F-01D029C9CFF4}"/>
            </c:ext>
          </c:extLst>
        </c:ser>
        <c:gapWidth val="219"/>
        <c:overlap val="-27"/>
        <c:axId val="98910976"/>
        <c:axId val="98912512"/>
      </c:barChart>
      <c:catAx>
        <c:axId val="98910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12512"/>
        <c:crosses val="autoZero"/>
        <c:auto val="1"/>
        <c:lblAlgn val="ctr"/>
        <c:lblOffset val="100"/>
      </c:catAx>
      <c:valAx>
        <c:axId val="98912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109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6</cp:revision>
  <cp:lastPrinted>2021-11-07T16:51:00Z</cp:lastPrinted>
  <dcterms:created xsi:type="dcterms:W3CDTF">2021-06-24T21:12:00Z</dcterms:created>
  <dcterms:modified xsi:type="dcterms:W3CDTF">2021-11-07T16:52:00Z</dcterms:modified>
</cp:coreProperties>
</file>